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Маня Казарян</w:t>
      </w:r>
    </w:p>
    <w:p>
      <w:pPr>
        <w:spacing w:after="280"/>
      </w:pPr>
      <w:r>
        <w:rPr>
          <w:rFonts w:ascii="Times New Roman" w:hAnsi="Times New Roman" w:eastAsia="Times New Roman" w:cs="Times New Roman"/>
          <w:b w:val="0"/>
          <w:i/>
          <w:color w:val="555555"/>
          <w:sz w:val="25"/>
        </w:rPr>
        <w:t>Сочетанием света и тени</w:t>
      </w:r>
    </w:p>
    <w:p>
      <w:pPr>
        <w:spacing w:after="400"/>
      </w:pPr>
      <w:r>
        <w:rPr>
          <w:rFonts w:ascii="Times New Roman" w:hAnsi="Times New Roman" w:eastAsia="Times New Roman" w:cs="Times New Roman"/>
          <w:b w:val="0"/>
          <w:i/>
          <w:color w:val="888888"/>
          <w:sz w:val="18"/>
        </w:rPr>
        <w:t>Советская Армения (Советакан Айастан) · 1977, 10 февраля · Перевод с армянского</w:t>
      </w:r>
    </w:p>
    <w:p>
      <w:pPr>
        <w:ind w:firstLine="567"/>
        <w:jc w:val="both"/>
      </w:pPr>
      <w:r>
        <w:rPr>
          <w:rFonts w:ascii="Times New Roman" w:hAnsi="Times New Roman" w:eastAsia="Times New Roman" w:cs="Times New Roman"/>
          <w:b w:val="0"/>
          <w:i w:val="0"/>
          <w:sz w:val="24"/>
        </w:rPr>
        <w:t>СОЧЕТАНИЕМ СВЕТА И ТЕНИ</w:t>
      </w:r>
    </w:p>
    <w:p>
      <w:pPr>
        <w:ind w:firstLine="567"/>
        <w:jc w:val="both"/>
      </w:pPr>
      <w:r>
        <w:rPr>
          <w:rFonts w:ascii="Times New Roman" w:hAnsi="Times New Roman" w:eastAsia="Times New Roman" w:cs="Times New Roman"/>
          <w:b w:val="0"/>
          <w:i w:val="0"/>
          <w:sz w:val="24"/>
        </w:rPr>
        <w:t>ПО ПОВОДУ ВЫСТАВКИ «СОВЕТСКАЯ ГРАФИКА», ОТКРЫВШЕЙСЯ В ДОМЕ ХУДОЖНИКА</w:t>
      </w:r>
    </w:p>
    <w:p>
      <w:pPr>
        <w:ind w:firstLine="567"/>
        <w:jc w:val="both"/>
      </w:pPr>
      <w:r>
        <w:rPr>
          <w:rFonts w:ascii="Times New Roman" w:hAnsi="Times New Roman" w:eastAsia="Times New Roman" w:cs="Times New Roman"/>
          <w:b w:val="0"/>
          <w:i w:val="0"/>
          <w:sz w:val="24"/>
        </w:rPr>
        <w:t>Одна из самых доступных и массовых областей изобразительного искусства — графика — в советском армянском искусстве давно уже завоевала право на самостоятельное существование. Это право отвоевали прежде всего оформление книги и станковая графика. Назрел вопрос о расширенной выставке графики, и недавно его осуществила секция графики Союза художников Армении. Более пятисот произведений двухсот художников, показанных в Доме художника, охватывают работы последних нескольких лет.</w:t>
      </w:r>
    </w:p>
    <w:p>
      <w:pPr>
        <w:ind w:firstLine="567"/>
        <w:jc w:val="both"/>
      </w:pPr>
      <w:r>
        <w:rPr>
          <w:rFonts w:ascii="Times New Roman" w:hAnsi="Times New Roman" w:eastAsia="Times New Roman" w:cs="Times New Roman"/>
          <w:b w:val="0"/>
          <w:i w:val="0"/>
          <w:sz w:val="24"/>
        </w:rPr>
        <w:t xml:space="preserve">В выставку графики включены представители всех поколений (из старших участвуют Ам. </w:t>
      </w:r>
      <w:r>
        <w:rPr>
          <w:rFonts w:ascii="Times New Roman" w:hAnsi="Times New Roman" w:eastAsia="Times New Roman" w:cs="Times New Roman"/>
          <w:b w:val="0"/>
          <w:i w:val="0"/>
          <w:sz w:val="24"/>
        </w:rPr>
        <w:t>Аветисян</w:t>
      </w:r>
      <w:r>
        <w:rPr>
          <w:rFonts w:ascii="Times New Roman" w:hAnsi="Times New Roman" w:eastAsia="Times New Roman" w:cs="Times New Roman"/>
          <w:b w:val="0"/>
          <w:i w:val="0"/>
          <w:sz w:val="24"/>
        </w:rPr>
        <w:t>, В. Шакарян, А. Шаварш, Э. Исабекян), и это позволяет увидеть тот путь развития художественного образа, которым традиция связывается с нашими днями. Интересы художников охватили разные темы и стили, которые и сообщили выставке жанровое разнообразие: тематическая картина, портрет, пейзаж, натюрморт. Использование разной техники (офорт, линогравюра, монотипия, карандаш, фломастер, сангина, акварель, цветной карандаш, уголь, темпера) делает выставку многоликой.</w:t>
      </w:r>
    </w:p>
    <w:p>
      <w:pPr>
        <w:ind w:firstLine="567"/>
        <w:jc w:val="both"/>
      </w:pPr>
      <w:r>
        <w:rPr>
          <w:rFonts w:ascii="Times New Roman" w:hAnsi="Times New Roman" w:eastAsia="Times New Roman" w:cs="Times New Roman"/>
          <w:b w:val="0"/>
          <w:i w:val="0"/>
          <w:sz w:val="24"/>
        </w:rPr>
        <w:t xml:space="preserve">Как всегда, важное место на выставке занимают портрет и пейзаж. </w:t>
      </w:r>
      <w:r>
        <w:rPr>
          <w:rFonts w:ascii="Times New Roman" w:hAnsi="Times New Roman" w:eastAsia="Times New Roman" w:cs="Times New Roman"/>
          <w:b/>
          <w:i w:val="0"/>
          <w:sz w:val="24"/>
        </w:rPr>
        <w:t xml:space="preserve">Среди лучших портретных работ по раскрытию сути образа можно назвать портреты «Е. Чаренц» и «В. Терьян» Р. Хачатряна, «Степан Шаумян» и «И. Фиолетов» </w:t>
      </w:r>
      <w:r>
        <w:rPr>
          <w:rFonts w:ascii="Times New Roman" w:hAnsi="Times New Roman" w:eastAsia="Times New Roman" w:cs="Times New Roman"/>
          <w:b/>
          <w:i w:val="0"/>
          <w:sz w:val="24"/>
        </w:rPr>
        <w:t>В. Хачикяна</w:t>
      </w:r>
      <w:r>
        <w:rPr>
          <w:rFonts w:ascii="Times New Roman" w:hAnsi="Times New Roman" w:eastAsia="Times New Roman" w:cs="Times New Roman"/>
          <w:b/>
          <w:i w:val="0"/>
          <w:sz w:val="24"/>
        </w:rPr>
        <w:t xml:space="preserve">, ряд портретов, показанных живописцами </w:t>
      </w:r>
      <w:r>
        <w:rPr>
          <w:rFonts w:ascii="Times New Roman" w:hAnsi="Times New Roman" w:eastAsia="Times New Roman" w:cs="Times New Roman"/>
          <w:b/>
          <w:i w:val="0"/>
          <w:sz w:val="24"/>
        </w:rPr>
        <w:t>А. Григоряном</w:t>
      </w:r>
      <w:r>
        <w:rPr>
          <w:rFonts w:ascii="Times New Roman" w:hAnsi="Times New Roman" w:eastAsia="Times New Roman" w:cs="Times New Roman"/>
          <w:b/>
          <w:i w:val="0"/>
          <w:sz w:val="24"/>
        </w:rPr>
        <w:t xml:space="preserve"> и В. Саркисяном, «Армянка» скульптора А. Арутюняна.</w:t>
      </w:r>
    </w:p>
    <w:p>
      <w:pPr>
        <w:ind w:firstLine="567"/>
        <w:jc w:val="both"/>
      </w:pPr>
      <w:r>
        <w:rPr>
          <w:rFonts w:ascii="Times New Roman" w:hAnsi="Times New Roman" w:eastAsia="Times New Roman" w:cs="Times New Roman"/>
          <w:b w:val="0"/>
          <w:i w:val="0"/>
          <w:sz w:val="24"/>
        </w:rPr>
        <w:t>Пейзаж дал художникам возможность раскрыться свободно. М. Абегян в пейзажах идёт к передаче спокойного, тихого состояния природы. О. Акопян на ровных, гладких пространствах стремится раскрыть внутреннюю жизнь природы. В. Хачикян в серии «Моя Армения» любуется лирическими настроениями родной земли, зангезурская серия М. Сафьяна словно бьётся беспокойным ритмом, О. Саакян приобщает зрителя к колориту Кольского полуострова. Даже несколько работ, изображающих будни республики (серии «Песнь Севана» и «Арпа—Севан» О. Ованнисяна, каджаранские листы Л. Степаняна, «[неразборчиво]» В. Саакяна), доказывают, что промышленная тема, начатая в советском армянском искусстве ещё в 1920-е годы, хотя и слабо, но перспективно развивается и в сегодняшней графике.</w:t>
      </w:r>
    </w:p>
    <w:p>
      <w:pPr>
        <w:ind w:firstLine="567"/>
        <w:jc w:val="both"/>
      </w:pPr>
      <w:r>
        <w:rPr>
          <w:rFonts w:ascii="Times New Roman" w:hAnsi="Times New Roman" w:eastAsia="Times New Roman" w:cs="Times New Roman"/>
          <w:b w:val="0"/>
          <w:i w:val="0"/>
          <w:sz w:val="24"/>
        </w:rPr>
        <w:t>Гораздо больше возможностей для самовыражения дала художникам-графикам историко-революционная тема. Серия «Лусик Лисинян» А. Закаряна, листы «1917 г.», «В. И. Ленин», «1945 г.» и «Во имя будущего» З. Гаспаряна, «Моя родина» Р. Бабаяна и другие работы заметно выделяются на выставке.</w:t>
      </w:r>
    </w:p>
    <w:p>
      <w:pPr>
        <w:ind w:firstLine="567"/>
        <w:jc w:val="both"/>
      </w:pPr>
      <w:r>
        <w:rPr>
          <w:rFonts w:ascii="Times New Roman" w:hAnsi="Times New Roman" w:eastAsia="Times New Roman" w:cs="Times New Roman"/>
          <w:b w:val="0"/>
          <w:i w:val="0"/>
          <w:sz w:val="24"/>
        </w:rPr>
        <w:t>Создание многолистных графических серий позволяет художнику свободнее развернуть тему, при которой каждый лист выступает отдельно и одновременно служит звеном, связывающим остальные листы.</w:t>
      </w:r>
    </w:p>
    <w:p>
      <w:pPr>
        <w:ind w:firstLine="567"/>
        <w:jc w:val="both"/>
      </w:pPr>
      <w:r>
        <w:rPr>
          <w:rFonts w:ascii="Times New Roman" w:hAnsi="Times New Roman" w:eastAsia="Times New Roman" w:cs="Times New Roman"/>
          <w:b w:val="0"/>
          <w:i w:val="0"/>
          <w:sz w:val="24"/>
        </w:rPr>
        <w:t xml:space="preserve">Из самобытных произведений станковой графики на выставке выделяется серия «Мексиканцы» </w:t>
      </w:r>
      <w:r>
        <w:rPr>
          <w:rFonts w:ascii="Times New Roman" w:hAnsi="Times New Roman" w:eastAsia="Times New Roman" w:cs="Times New Roman"/>
          <w:b w:val="0"/>
          <w:i w:val="0"/>
          <w:sz w:val="24"/>
        </w:rPr>
        <w:t>Г. Ханджяна</w:t>
      </w:r>
      <w:r>
        <w:rPr>
          <w:rFonts w:ascii="Times New Roman" w:hAnsi="Times New Roman" w:eastAsia="Times New Roman" w:cs="Times New Roman"/>
          <w:b w:val="0"/>
          <w:i w:val="0"/>
          <w:sz w:val="24"/>
        </w:rPr>
        <w:t>, привлекающая не только умением обобщить народные характеры и этнографические приметы, но и совершенством чисто живописных приёмов. Это и позволяет Г. Ханджяну удерживать эту серию на границе графики и живописи. Пластическое построение офортов и ксилографий В. Айвазяна, колористическое обаяние серии «Старый Гюмри» А. Ананикяна, силуэтные решения «Сасунцев» Т. Тормашяна — свидетельство серьёзных поисков художников в области станковой графики.</w:t>
      </w:r>
    </w:p>
    <w:p>
      <w:pPr>
        <w:ind w:firstLine="567"/>
        <w:jc w:val="both"/>
      </w:pPr>
      <w:r>
        <w:rPr>
          <w:rFonts w:ascii="Times New Roman" w:hAnsi="Times New Roman" w:eastAsia="Times New Roman" w:cs="Times New Roman"/>
          <w:b/>
          <w:i w:val="0"/>
          <w:sz w:val="24"/>
        </w:rPr>
        <w:t>По технической завершённости выделяются и небольшие пейзажи Р. Хачатряна, «Автопортрет» и «Натюрморт с рыбами», где умение строить композицию соединяется с моделировкой формы и с мастерским использованием «живописных» возможностей карандаша.</w:t>
      </w:r>
    </w:p>
    <w:p>
      <w:pPr>
        <w:ind w:firstLine="567"/>
        <w:jc w:val="both"/>
      </w:pPr>
      <w:r>
        <w:rPr>
          <w:rFonts w:ascii="Times New Roman" w:hAnsi="Times New Roman" w:eastAsia="Times New Roman" w:cs="Times New Roman"/>
          <w:b w:val="0"/>
          <w:i w:val="0"/>
          <w:sz w:val="24"/>
        </w:rPr>
        <w:t>Среди лучших работ выставки — произведения М. Аветисяна. «У окна», «Траур», «Память о войне. Мои родители» — произведения, достигшие живописного обобщения.</w:t>
      </w:r>
    </w:p>
    <w:p>
      <w:pPr>
        <w:ind w:firstLine="567"/>
        <w:jc w:val="both"/>
      </w:pPr>
      <w:r>
        <w:rPr>
          <w:rFonts w:ascii="Times New Roman" w:hAnsi="Times New Roman" w:eastAsia="Times New Roman" w:cs="Times New Roman"/>
          <w:b w:val="0"/>
          <w:i w:val="0"/>
          <w:sz w:val="24"/>
        </w:rPr>
        <w:t>Странно, что выставка не отражает того уровня оформления книги, какой у нас есть сегодня.</w:t>
      </w:r>
    </w:p>
    <w:p>
      <w:pPr>
        <w:ind w:firstLine="567"/>
        <w:jc w:val="both"/>
      </w:pPr>
      <w:r>
        <w:rPr>
          <w:rFonts w:ascii="Times New Roman" w:hAnsi="Times New Roman" w:eastAsia="Times New Roman" w:cs="Times New Roman"/>
          <w:b w:val="0"/>
          <w:i w:val="0"/>
          <w:sz w:val="24"/>
        </w:rPr>
        <w:t>Несколько удачных иллюстраций, показанных А. Мамяном, Л. [неразборчиво], А. Гаспаряном, положения нисколько не смягчают.</w:t>
      </w:r>
    </w:p>
    <w:p>
      <w:pPr>
        <w:ind w:firstLine="567"/>
        <w:jc w:val="both"/>
      </w:pPr>
      <w:r>
        <w:rPr>
          <w:rFonts w:ascii="Times New Roman" w:hAnsi="Times New Roman" w:eastAsia="Times New Roman" w:cs="Times New Roman"/>
          <w:b w:val="0"/>
          <w:i w:val="0"/>
          <w:sz w:val="24"/>
        </w:rPr>
        <w:t>Высоко оценивая роль карикатуры и плаката в общественной жизни, их воспитательное значение, нельзя мириться с пассивностью художников, работающих в этих жанрах. Плакат, которым представлены несколько художников — Р. Нанушян, В. Бегларян, Э. Седракян, — стал чисто выставочным экспонатом. Между тем место плаката — в общественных местах: на зданиях, площадях, улицах, однако советский армянский плакат давно уже отошёл от своей прямой задачи. Как ни удивительно, за год в нашей республике печатается всего десять названий плакатов разных типов, да и то ограниченным тиражом.</w:t>
      </w:r>
    </w:p>
    <w:p>
      <w:pPr>
        <w:ind w:firstLine="567"/>
        <w:jc w:val="both"/>
      </w:pPr>
      <w:r>
        <w:rPr>
          <w:rFonts w:ascii="Times New Roman" w:hAnsi="Times New Roman" w:eastAsia="Times New Roman" w:cs="Times New Roman"/>
          <w:b w:val="0"/>
          <w:i w:val="0"/>
          <w:sz w:val="24"/>
        </w:rPr>
        <w:t>Карикатуристы (несколько работ показали лишь Г. Яралян, Н. [неразборчиво], В. Аброян) собраны в основном вокруг журнала «Озни».</w:t>
      </w:r>
    </w:p>
    <w:p>
      <w:pPr>
        <w:ind w:firstLine="567"/>
        <w:jc w:val="both"/>
      </w:pPr>
      <w:r>
        <w:rPr>
          <w:rFonts w:ascii="Times New Roman" w:hAnsi="Times New Roman" w:eastAsia="Times New Roman" w:cs="Times New Roman"/>
          <w:b w:val="0"/>
          <w:i w:val="0"/>
          <w:sz w:val="24"/>
        </w:rPr>
        <w:t>Некоторое время в художественном салоне поступали в продажу хорошие образцы тиражной графики (эстампа), которые с удовольствием покупались любителями искусства. Такая практика существует и в других республиках, а у нас, неизвестно почему, она была прекращена. Интересно, какое административное звено решило запретить практику продажи произведений искусства по доступным обществу ценам.</w:t>
      </w:r>
    </w:p>
    <w:p>
      <w:pPr>
        <w:ind w:firstLine="567"/>
        <w:jc w:val="both"/>
      </w:pPr>
      <w:r>
        <w:rPr>
          <w:rFonts w:ascii="Times New Roman" w:hAnsi="Times New Roman" w:eastAsia="Times New Roman" w:cs="Times New Roman"/>
          <w:b w:val="0"/>
          <w:i w:val="0"/>
          <w:sz w:val="24"/>
        </w:rPr>
        <w:t>Ход жизни требует большего внимания к прикладной графике — как к искусству гораздо более массовому.</w:t>
      </w:r>
    </w:p>
    <w:p>
      <w:pPr>
        <w:ind w:firstLine="567"/>
        <w:jc w:val="both"/>
      </w:pPr>
      <w:r>
        <w:rPr>
          <w:rFonts w:ascii="Times New Roman" w:hAnsi="Times New Roman" w:eastAsia="Times New Roman" w:cs="Times New Roman"/>
          <w:b w:val="0"/>
          <w:i w:val="0"/>
          <w:sz w:val="24"/>
        </w:rPr>
        <w:t>25 января 1926 года в Ереване открылась первая выставка графики, устроенная обществом работников изобразительного искусства Армении. Пятьдесят один год спустя открылась вторая. За все эти годы советская армянская графика доказала, что имеет право выступать на художественных выставках наравне с живописью и скульптурой, имеет право быть в центре внимания.</w:t>
      </w:r>
    </w:p>
    <w:p>
      <w:pPr>
        <w:ind w:firstLine="567"/>
        <w:jc w:val="both"/>
      </w:pPr>
      <w:r>
        <w:rPr>
          <w:rFonts w:ascii="Times New Roman" w:hAnsi="Times New Roman" w:eastAsia="Times New Roman" w:cs="Times New Roman"/>
          <w:b w:val="0"/>
          <w:i w:val="0"/>
          <w:sz w:val="24"/>
        </w:rPr>
        <w:t>МАНЯ КАЗАРЯН</w:t>
      </w:r>
    </w:p>
    <w:p>
      <w:pPr>
        <w:ind w:firstLine="567"/>
        <w:jc w:val="both"/>
      </w:pPr>
      <w:r>
        <w:rPr>
          <w:rFonts w:ascii="Times New Roman" w:hAnsi="Times New Roman" w:eastAsia="Times New Roman" w:cs="Times New Roman"/>
          <w:b w:val="0"/>
          <w:i w:val="0"/>
          <w:sz w:val="24"/>
        </w:rPr>
        <w:t xml:space="preserve">[На снимках: Рафаэл Нанушян — «Мир». Лала Степанян — «Заводской интерьер». Григор Ханджян — из серии «Мексиканцы». Минас Аветисян — «Раздумье». Фотографии полосы — А. </w:t>
      </w:r>
      <w:r>
        <w:rPr>
          <w:rFonts w:ascii="Times New Roman" w:hAnsi="Times New Roman" w:eastAsia="Times New Roman" w:cs="Times New Roman"/>
          <w:b w:val="0"/>
          <w:i w:val="0"/>
          <w:sz w:val="24"/>
        </w:rPr>
        <w:t>Есаяна</w:t>
      </w:r>
      <w:r>
        <w:rPr>
          <w:rFonts w:ascii="Times New Roman" w:hAnsi="Times New Roman" w:eastAsia="Times New Roman" w:cs="Times New Roman"/>
          <w:b w:val="0"/>
          <w:i w:val="0"/>
          <w:sz w:val="24"/>
        </w:rPr>
        <w:t>.]</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Pub-0035 · Маня Казарян · 1977</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https://rudolfart.com/publications/Pub-0035?lang=ru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Pub-0035 · Маня Казарян · 1977</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https://rudolfart.com/publications/Pub-0035?lang=ru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035?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035?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https://rudolfart.com/publications/Pub-0035?lang=ru</dc:subject>
  <dc:creator>python-docx</dc:creator>
  <cp:keywords>Rudolf Khachatryan; rudolfart.com</cp:keywords>
  <dc:description>Source: https://rudolfart.com/publications/Pub-0035?lang=ru · Rudolf Khachatryan Digital Archive</dc:description>
  <cp:lastModifiedBy/>
  <cp:revision>1</cp:revision>
  <dcterms:created xsi:type="dcterms:W3CDTF">2013-12-23T23:15:00Z</dcterms:created>
  <dcterms:modified xsi:type="dcterms:W3CDTF">2013-12-23T23:15:00Z</dcterms:modified>
  <cp:category/>
</cp:coreProperties>
</file>