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pBdr>
          <w:bottom w:val="single" w:sz="4" w:space="4" w:color="CCCCCC"/>
        </w:pBdr>
      </w:pPr>
      <w:r>
        <w:rPr>
          <w:rFonts w:ascii="Times New Roman" w:hAnsi="Times New Roman" w:eastAsia="Times New Roman" w:cs="Times New Roman"/>
          <w:b w:val="0"/>
          <w:i w:val="0"/>
          <w:color w:val="7A3B28"/>
          <w:sz w:val="17"/>
        </w:rPr>
        <w:t xml:space="preserve">ФОНД НАСЛЕДИЯ РУДОЛЬФА ХАЧАТРЯНА  ·  </w:t>
      </w:r>
      <w:r>
        <w:rPr>
          <w:rFonts w:ascii="Times New Roman" w:hAnsi="Times New Roman" w:eastAsia="Times New Roman" w:cs="Times New Roman"/>
          <w:b w:val="0"/>
          <w:i w:val="0"/>
          <w:color w:val="888888"/>
          <w:sz w:val="17"/>
        </w:rPr>
        <w:t>rudolfart.com</w:t>
      </w:r>
    </w:p>
    <w:p>
      <w:pPr>
        <w:spacing w:after="280"/>
      </w:pPr>
      <w:r>
        <w:rPr>
          <w:rFonts w:ascii="Times New Roman" w:hAnsi="Times New Roman" w:eastAsia="Times New Roman" w:cs="Times New Roman"/>
          <w:b w:val="0"/>
          <w:i/>
          <w:color w:val="555555"/>
          <w:sz w:val="25"/>
        </w:rPr>
        <w:t>Некролог</w:t>
      </w:r>
    </w:p>
    <w:p>
      <w:pPr>
        <w:spacing w:after="400"/>
      </w:pPr>
      <w:r>
        <w:rPr>
          <w:rFonts w:ascii="Times New Roman" w:hAnsi="Times New Roman" w:eastAsia="Times New Roman" w:cs="Times New Roman"/>
          <w:b w:val="0"/>
          <w:i/>
          <w:color w:val="888888"/>
          <w:sz w:val="18"/>
        </w:rPr>
        <w:t>Культура · 2007 · Оригинал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Рудольф Лорисович ХАЧАТРЯН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Отечественная культура понесла тяжелую утрату. На 71-м году жизни скончался известный живописец, график и скульптор, член-корреспондент Российской академии художеств, народный художник Армении Рудольф Лорисович Хачатрян. Рудольф Хачатрян родился в Ереване, где получил солидные профессиональные навыки благодаря в первую очередь занятиям в 1950-е годы под руководством Ерванда Качара. Весь путь в искусстве Рудольфа Хачатряна, начиная с первых шагов, – редкий ныне пример бескомпромиссного служения прекрасному, людям разных наций и поколений. Служения, исповедующего эстетические и гуманистические идеалы мировой художественной классики, далекого от какой-либо конъюнктуры, будь то идеологические установки советского периода или последние модные течения российского художественного рынка. В портретной галере, созданной мастером в 1960 – 1980-х годах и принесшей ему самую широкую известность, запечатлены в большинстве своем представители исключительно творческих профессий: актеры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Аркадий Райкин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Армен Джигарханян, искусствоведы 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Генрих Игитян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 xml:space="preserve"> и 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Савелий Ямщиков</w:t>
      </w:r>
      <w:r>
        <w:rPr>
          <w:rFonts w:ascii="Times New Roman" w:hAnsi="Times New Roman" w:eastAsia="Times New Roman" w:cs="Times New Roman"/>
          <w:b w:val="0"/>
          <w:i w:val="0"/>
          <w:sz w:val="24"/>
        </w:rPr>
        <w:t>, а также многие другие. Именно они, по убеждению автора, играют роль подлинных героев нашего времени, олицетворяя его честь и совесть. Не склонный почивать на лаврах, Рудольф Хачатрян постоянно находился в поисках новых пластических форм самовыражения, воплощения своих творческих и уникальных философских концепций, блестяще и во всех отношениях убедительно реализовав их в сериях коллажей и многомерных объектов конца XX – начала XXI столетия, получивших восторженные отзывы в России, в родной ему Армении и далеко за их пределами. Привнесенные им технические новации – рисунки по левкасу, сходные с монохромной живописью, или способные к бесконечным метаморфозам инсталляции не относятся к сфере внешне эффектных приемов, а диктуются индивидуальными духовными озарениями. Его произведения хранятся в лучших музейных и частных собраниях страны и ряде зарубежных государств. Полное высокого человеческого и профессионального достоинства, страстного стремления к идеальному совершенству, художественное наследие нашего незабываемого Рудольфа Хачатряна является убедительным наглядным подтверждением того, что жизнь коротка, а искусство вечно.</w:t>
      </w:r>
    </w:p>
    <w:p>
      <w:pPr>
        <w:ind w:firstLine="567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4"/>
        </w:rPr>
        <w:t>Президиум Российской академии художеств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134" w:right="567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Pub-0246-в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https://rudolfart.com/publications/Pub-0246-%D0%B2?lang=ru</w:t>
      </w:r>
    </w:hyperlink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6803"/>
      <w:gridCol w:w="2835"/>
    </w:tblGrid>
    <w:tr>
      <w:tc>
        <w:tcPr>
          <w:tcW w:type="dxa" w:w="4819"/>
        </w:tcPr>
        <w:p>
          <w:pPr>
            <w:spacing w:after="0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t>Pub-0246-в · 2007</w:t>
          </w:r>
        </w:p>
      </w:tc>
      <w:tc>
        <w:tcPr>
          <w:tcW w:type="dxa" w:w="4819"/>
        </w:tcPr>
        <w:p>
          <w:pPr>
            <w:spacing w:after="0"/>
            <w:jc w:val="right"/>
          </w:pPr>
          <w:r>
            <w:rPr>
              <w:rFonts w:ascii="Times New Roman" w:hAnsi="Times New Roman" w:eastAsia="Times New Roman" w:cs="Times New Roman"/>
              <w:b w:val="0"/>
              <w:i w:val="0"/>
              <w:color w:val="888888"/>
              <w:sz w:val="17"/>
            </w:rPr>
            <w:fldChar w:fldCharType="begin"/>
            <w:instrText xml:space="preserve"> PAGE </w:instrText>
            <w:fldChar w:fldCharType="end"/>
          </w:r>
        </w:p>
      </w:tc>
    </w:tr>
  </w:tbl>
  <w:p>
    <w:pPr>
      <w:jc w:val="center"/>
    </w:pPr>
    <w:r>
      <w:rPr>
        <w:color w:val="787670"/>
        <w:sz w:val="16"/>
      </w:rPr>
      <w:t xml:space="preserve">Source: </w:t>
    </w:r>
    <w:hyperlink r:id="rId1">
      <w:r>
        <w:rPr>
          <w:color w:val="7A3B28"/>
          <w:sz w:val="16"/>
        </w:rPr>
        <w:t>https://rudolfart.com/publications/Pub-0246-%D0%B2?lang=ru</w:t>
      </w:r>
    </w:hyperlink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pBdr>
        <w:bottom w:val="single" w:sz="4" w:space="4" w:color="CCCCCC"/>
      </w:pBdr>
    </w:pPr>
    <w:r>
      <w:rPr>
        <w:rFonts w:ascii="Times New Roman" w:hAnsi="Times New Roman" w:eastAsia="Times New Roman" w:cs="Times New Roman"/>
        <w:b w:val="0"/>
        <w:i w:val="0"/>
        <w:color w:val="7A3B28"/>
        <w:sz w:val="17"/>
      </w:rPr>
      <w:t xml:space="preserve">ФОНД НАСЛЕДИЯ РУДОЛЬФА ХАЧАТРЯНА  ·  </w:t>
    </w:r>
    <w:r>
      <w:rPr>
        <w:rFonts w:ascii="Times New Roman" w:hAnsi="Times New Roman" w:eastAsia="Times New Roman" w:cs="Times New Roman"/>
        <w:b w:val="0"/>
        <w:i w:val="0"/>
        <w:color w:val="888888"/>
        <w:sz w:val="17"/>
      </w:rPr>
      <w:t>rudolfart.com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276"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6-%D0%B2?lang=ru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rudolfart.com/publications/Pub-0246-%D0%B2?lang=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https://rudolfart.com/publications/Pub-0246-%D0%B2?lang=ru</dc:subject>
  <dc:creator>python-docx</dc:creator>
  <cp:keywords>Rudolf Khachatryan; rudolfart.com</cp:keywords>
  <dc:description>Source: https://rudolfart.com/publications/Pub-0246-%D0%B2?lang=ru · Rudolf Khachatryan Digital Archive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