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A7C08C" w14:textId="77777777" w:rsidR="008E6824" w:rsidRDefault="00000000">
      <w:pPr>
        <w:spacing w:after="400" w:line="300" w:lineRule="auto"/>
      </w:pPr>
      <w:r>
        <w:rPr>
          <w:rFonts w:ascii="Sylfaen" w:eastAsia="Sylfaen" w:hAnsi="Sylfaen" w:cs="Sylfaen"/>
          <w:b/>
          <w:bCs/>
          <w:color w:val="000000"/>
          <w:spacing w:val="20"/>
          <w:sz w:val="32"/>
          <w:szCs w:val="32"/>
        </w:rPr>
        <w:t>ИСКУССТВО РУДОЛЬФА ХАЧАТРЯНА</w:t>
      </w:r>
    </w:p>
    <w:p w14:paraId="1092BEBD" w14:textId="77777777" w:rsidR="008E6824" w:rsidRDefault="00000000">
      <w:pPr>
        <w:spacing w:after="100" w:line="300" w:lineRule="auto"/>
        <w:ind w:firstLine="360"/>
        <w:jc w:val="both"/>
      </w:pPr>
      <w:r>
        <w:rPr>
          <w:rFonts w:ascii="Sylfaen" w:eastAsia="Sylfaen" w:hAnsi="Sylfaen" w:cs="Sylfaen"/>
          <w:color w:val="000000"/>
          <w:sz w:val="22"/>
          <w:szCs w:val="22"/>
        </w:rPr>
        <w:t>Творчество Рудольфа Хачатряна — уникальное явление в современном изобразительном искусстве. Уникальность эта не в какой-то одной его конкретной особенности, а в соединении, сопряжении, скрещении решений нескольких существенно важных для современного искусства проблем, проблем нравственных и эстетических, мировоззренческих и психологических, философских и поэтических. Жанровый спектр работ Р. Хачатряна неширок — он ограничивается портретом и натюрмортом, в последнее время художник обратился и к пейзажу. Казалось бы, жанры эти крайне далеки друг от друга, однако Р. Хачатрян опровергает это привычное представление. Дело не только в том, что в его портретах вещи занимают существенное место, сопоставленные с изображаемым человеком, но и в том, что сам телесный облик портретируемого веществен до предела — пренебрегая опасностью натуралистической детализации, художник любовно и тщательно разрабатывает поверхность человеческого тела, фактуру волос, как бы приравнивая живую материю веществу соседствующей с ней одежды; с другой стороны, в натюрмортах Р. Хачатряна изображение каждого предмета столь индивидуализировано и характерно, что может быть с полным правом названо портретным: например, в «Натюрморте с кувшином и рыбой» 1981 г. все три предмета — кувшин, рыба и головка лука — имеют каждый свой характер, свою психологию, а не только пластическую характеристику (невольно вспоминаешь, что такой способ изображения предметности бытия французы определяли некогда как «портретирование»).</w:t>
      </w:r>
    </w:p>
    <w:p w14:paraId="68AC0025" w14:textId="77777777" w:rsidR="008E6824" w:rsidRDefault="00000000">
      <w:pPr>
        <w:spacing w:after="100" w:line="300" w:lineRule="auto"/>
        <w:ind w:firstLine="360"/>
        <w:jc w:val="both"/>
      </w:pPr>
      <w:r>
        <w:rPr>
          <w:rFonts w:ascii="Sylfaen" w:eastAsia="Sylfaen" w:hAnsi="Sylfaen" w:cs="Sylfaen"/>
          <w:color w:val="000000"/>
          <w:sz w:val="22"/>
          <w:szCs w:val="22"/>
        </w:rPr>
        <w:t xml:space="preserve">Почему же Р. Хачатряну нигде и никогда не угрожает смертельная для подлинного искусства иллюзорность натурализма? Потому, что он не сводит духовное к материальному, а, напротив, возвышает материальное до уровня духовного: в изображении человека это достигается прежде всего силой и остротой психологической характеристики, в натюрморте — любовным и, я сказал бы, предельно уважительным, чуть ли не благоговейным отношением к бытию вещи, к ее индивидуальности, к наполненности и красоте, а подчас и величественности формы. Уже на этом уровне изобразительного языка искусство Р. Хачатряна наполняется явственным философским смыслом: художник не просто изображает мир, но изобразительно осмысляет его; он стремится не к сходству ради сходства, а к постижению того, как общие законы бытия проявляются в разнообразии предметных форм; эти общие законы — гармония, величавость, умиротворенность довлеющего себе и целостно-единого в бесконечно разноликих предметах существования, равнозначительного в фигуре человека и веточке дерева, в яблоке и металлическом сосуде, в скорлупе ореха и изящной декоративной ткани. Чрезвычайно характерно, что Р. Хачатрян любит строить натюрморты как многофигурные картины («Большой натюрморт» 1982 г., «Натюрморт с зеркалом» 1983 г.), </w:t>
      </w:r>
      <w:r>
        <w:rPr>
          <w:rFonts w:ascii="Sylfaen" w:eastAsia="Sylfaen" w:hAnsi="Sylfaen" w:cs="Sylfaen"/>
          <w:color w:val="000000"/>
          <w:sz w:val="22"/>
          <w:szCs w:val="22"/>
        </w:rPr>
        <w:lastRenderedPageBreak/>
        <w:t xml:space="preserve">в которых разыгрываются целые сцены во взаимодействии разных вещей, вступающих друг с другом в диалог благодаря сходству и различию в форме, фактуре, характеру своей уникальной </w:t>
      </w:r>
      <w:proofErr w:type="spellStart"/>
      <w:r>
        <w:rPr>
          <w:rFonts w:ascii="Sylfaen" w:eastAsia="Sylfaen" w:hAnsi="Sylfaen" w:cs="Sylfaen"/>
          <w:color w:val="000000"/>
          <w:sz w:val="22"/>
          <w:szCs w:val="22"/>
        </w:rPr>
        <w:t>плоти</w:t>
      </w:r>
      <w:proofErr w:type="spellEnd"/>
      <w:r>
        <w:rPr>
          <w:rFonts w:ascii="Sylfaen" w:eastAsia="Sylfaen" w:hAnsi="Sylfaen" w:cs="Sylfaen"/>
          <w:color w:val="000000"/>
          <w:sz w:val="22"/>
          <w:szCs w:val="22"/>
        </w:rPr>
        <w:t>, и эти безмолвные диалоги оказываются чрезвычайно интересными, я бы сказал — интригующими по остроте сопоставлений и противопоставлений. Речь идет, следовательно, не просто об изображении вещей, а о выражении определенного мироощущения, определенной философии бытия.</w:t>
      </w:r>
    </w:p>
    <w:p w14:paraId="298E8115" w14:textId="77777777" w:rsidR="008E6824" w:rsidRDefault="00000000">
      <w:pPr>
        <w:spacing w:after="100" w:line="300" w:lineRule="auto"/>
        <w:ind w:firstLine="360"/>
        <w:jc w:val="both"/>
      </w:pPr>
      <w:r>
        <w:rPr>
          <w:rFonts w:ascii="Sylfaen" w:eastAsia="Sylfaen" w:hAnsi="Sylfaen" w:cs="Sylfaen"/>
          <w:color w:val="000000"/>
          <w:sz w:val="22"/>
          <w:szCs w:val="22"/>
        </w:rPr>
        <w:t xml:space="preserve">Поначалу может показаться, что в таком мировосприятии есть что-то несовременное, архаическое; и в самом деле, оно заставляет вспомнить пантеистическое ренессансное ощущение природы, человека, вещи; неудивительно, что писавшие о творчестве Р. Хачатряна всегда отмечали его преклонение перед Леонардо да Винчи и находили различные переклички в их искусстве. И все же, как ни значителен для Р. Хачатряна эстетический авторитет великого флорентийца — художник сам говорит об этом охотно и увлеченно, — в его произведениях ощущается гораздо более глубокое родство с ренессансным чувством природы, чем персональная связь с кем-то из его представителей; во всяком случае, сознает это Р. Хачатрян или нет, но его работы рождают ассоциации не только с творчеством Леонардо, но и с Рафаэлем, и с Дюрером, и с Джорджоне, и с </w:t>
      </w:r>
      <w:proofErr w:type="spellStart"/>
      <w:r>
        <w:rPr>
          <w:rFonts w:ascii="Sylfaen" w:eastAsia="Sylfaen" w:hAnsi="Sylfaen" w:cs="Sylfaen"/>
          <w:color w:val="000000"/>
          <w:sz w:val="22"/>
          <w:szCs w:val="22"/>
        </w:rPr>
        <w:t>Клуэ</w:t>
      </w:r>
      <w:proofErr w:type="spellEnd"/>
      <w:r>
        <w:rPr>
          <w:rFonts w:ascii="Sylfaen" w:eastAsia="Sylfaen" w:hAnsi="Sylfaen" w:cs="Sylfaen"/>
          <w:color w:val="000000"/>
          <w:sz w:val="22"/>
          <w:szCs w:val="22"/>
        </w:rPr>
        <w:t xml:space="preserve">, и даже со скульптурами Донателло; и это не ностальгические реминисценции, не столь популярное в наши дни кокетничающее «ретро», а глубокое мировоззренческое родство, приводящее к сходным решениям, несмотря на то, что путь художника XX века совершенно самостоятелен. В самом деле, что поражает в портретах Р. Хачатряна, кого бы он ни изображал? Прежде всего, значительность изображаемого лица, вызывающая в памяти образы титанов Возрождения; наш современник ищет в человеке силу характера, внутреннее достоинство, сознание собственных возможностей, заключенных не в социальном положении, не в занимаемом кресле, а именно в духовных его качествах; потому не столь уж существенно зрителю, кто именно тут изображен — академик Мигдал или неизвестное ему лицо, скрытое за инициалами «В. М.», этнограф Л. Абраамян или безымянный «Караван-баши», ибо во всех случаях нас покоряет знакомство с Большим человеком, то есть Человеком с большой буквы. Передавая это ощущение от героев Р. Хачатряна, наш выдающийся поэт Арсений Тарковский прекрасно сказал: «Оказывается, — «простых людей» на свете не существует. Хочется назвать пафос «графики» Рудольфа Хачатряна героическим. Так изображали свои модели прославленные живописцы стародавних времен на фресках и полотнах... Мне тоже, вослед художнику, хочется верить в героизм человека». А живописец Таир Салахов передал это ощущение в таких словах: «редко кто поднимается до такой любви, до такого уважения к человеку как Хачатрян». Р. Хачатрян хочет, чтобы его герои как бы совмещались в нашем воображении с образами величественно-идеальных людей эпохи Возрождения и направляет наше восприятие по этому пути разнообразными художественными приемами — то обнаженностью тела и позой героя («Изгнанник» 1981 г., «Натурщица» 1981 г.). то декоративной драпировкой или </w:t>
      </w:r>
      <w:r>
        <w:rPr>
          <w:rFonts w:ascii="Sylfaen" w:eastAsia="Sylfaen" w:hAnsi="Sylfaen" w:cs="Sylfaen"/>
          <w:color w:val="000000"/>
          <w:sz w:val="22"/>
          <w:szCs w:val="22"/>
        </w:rPr>
        <w:lastRenderedPageBreak/>
        <w:t>головным убором («</w:t>
      </w:r>
      <w:proofErr w:type="spellStart"/>
      <w:r>
        <w:rPr>
          <w:rFonts w:ascii="Sylfaen" w:eastAsia="Sylfaen" w:hAnsi="Sylfaen" w:cs="Sylfaen"/>
          <w:color w:val="000000"/>
          <w:sz w:val="22"/>
          <w:szCs w:val="22"/>
        </w:rPr>
        <w:t>Моко</w:t>
      </w:r>
      <w:proofErr w:type="spellEnd"/>
      <w:r>
        <w:rPr>
          <w:rFonts w:ascii="Sylfaen" w:eastAsia="Sylfaen" w:hAnsi="Sylfaen" w:cs="Sylfaen"/>
          <w:color w:val="000000"/>
          <w:sz w:val="22"/>
          <w:szCs w:val="22"/>
        </w:rPr>
        <w:t xml:space="preserve">» 1982 г., «Девушка в старинном берете» 1978 г.), то названием («Давид» 1978 г., «Юдифь» 1976 г., «Портрет молодой итальянки» 1981 г.), то «говорящей» деталью (яблоко в руке актрисы Сайко (1976) или обнаженной «Натурщицы» 1981 г.). и всегда монументальной композицией и благородством моделировки формы. </w:t>
      </w:r>
      <w:proofErr w:type="spellStart"/>
      <w:r>
        <w:rPr>
          <w:rFonts w:ascii="Sylfaen" w:eastAsia="Sylfaen" w:hAnsi="Sylfaen" w:cs="Sylfaen"/>
          <w:color w:val="000000"/>
          <w:sz w:val="22"/>
          <w:szCs w:val="22"/>
        </w:rPr>
        <w:t>По-ренессансному</w:t>
      </w:r>
      <w:proofErr w:type="spellEnd"/>
      <w:r>
        <w:rPr>
          <w:rFonts w:ascii="Sylfaen" w:eastAsia="Sylfaen" w:hAnsi="Sylfaen" w:cs="Sylfaen"/>
          <w:color w:val="000000"/>
          <w:sz w:val="22"/>
          <w:szCs w:val="22"/>
        </w:rPr>
        <w:t xml:space="preserve"> воспринимает Р. Хачатрян и различия между мужчиной и женщиной. Женские образы у него еще более решительно идеализированы, чем мужские: если в последних он видит деятельно-волевое начало, то в первых — нежно-поэтическое, созерцательное, «вечно женственное», как его когда-то именовали... Поэтому так влечет его изображение обнаженного юного женского тела, прелесть которого подчеркивается деталью одежды, декоративной драпировкой, и которое в любом, самом «рискованном» ракурсе, сохраняет у него целомудренную поэтичность, нравственную чистоту.</w:t>
      </w:r>
    </w:p>
    <w:p w14:paraId="5AFABCD9" w14:textId="77777777" w:rsidR="008E6824" w:rsidRDefault="00000000">
      <w:pPr>
        <w:spacing w:after="100" w:line="300" w:lineRule="auto"/>
        <w:ind w:firstLine="360"/>
        <w:jc w:val="both"/>
      </w:pPr>
      <w:r>
        <w:rPr>
          <w:rFonts w:ascii="Sylfaen" w:eastAsia="Sylfaen" w:hAnsi="Sylfaen" w:cs="Sylfaen"/>
          <w:color w:val="000000"/>
          <w:sz w:val="22"/>
          <w:szCs w:val="22"/>
        </w:rPr>
        <w:t>В этом совмещении двух исторических пластов культуры — современного и ренессансного — я вижу не способ приукрасить настоящее, и не бегство от него, а уверенность в непреходящей ценности поэзии и величия человеческого бытия, художественное доказательство возможности человека быть духовно значительным, прекрасным, поэтичным... Искусство Р. Хачатряна не теряет поэтому реалистичности, но это реализм особого типа, особого стилевого строя.</w:t>
      </w:r>
    </w:p>
    <w:p w14:paraId="602BAFD7" w14:textId="77777777" w:rsidR="008E6824" w:rsidRDefault="00000000">
      <w:pPr>
        <w:spacing w:after="100" w:line="300" w:lineRule="auto"/>
        <w:ind w:firstLine="360"/>
        <w:jc w:val="both"/>
      </w:pPr>
      <w:r>
        <w:rPr>
          <w:rFonts w:ascii="Sylfaen" w:eastAsia="Sylfaen" w:hAnsi="Sylfaen" w:cs="Sylfaen"/>
          <w:color w:val="000000"/>
          <w:sz w:val="22"/>
          <w:szCs w:val="22"/>
        </w:rPr>
        <w:t xml:space="preserve">История советского искусства испытывала разные отправные точки для развития реалистического метода — и стилистику бытовой картины передвижников, и символизм средневековой иконы, и романтическую приподнятость над повседневностью, и импрессионистические, и экспрессионистические средства художественной выразительности... Так обнаруживалось богатство стилевых возможностей социалистического реализма, вопреки попыткам догматиков разного рода свести реализм советского искусства к какой-то одной стилевой структуре. Искусство Р. Хачатряна открывает в этом спектре еще одну стилевую полосу, в которой реализм синтезируется с ренессансной классикой. Бесплодным было бы рассуждение о том, лучше или хуже эта стилевая ориентация, чем те, которые испытаны Петровым-Водкиным, Кончаловским, Дейнекой, Иогансоном, </w:t>
      </w:r>
      <w:proofErr w:type="spellStart"/>
      <w:r>
        <w:rPr>
          <w:rFonts w:ascii="Sylfaen" w:eastAsia="Sylfaen" w:hAnsi="Sylfaen" w:cs="Sylfaen"/>
          <w:color w:val="000000"/>
          <w:sz w:val="22"/>
          <w:szCs w:val="22"/>
        </w:rPr>
        <w:t>Кориным</w:t>
      </w:r>
      <w:proofErr w:type="spellEnd"/>
      <w:r>
        <w:rPr>
          <w:rFonts w:ascii="Sylfaen" w:eastAsia="Sylfaen" w:hAnsi="Sylfaen" w:cs="Sylfaen"/>
          <w:color w:val="000000"/>
          <w:sz w:val="22"/>
          <w:szCs w:val="22"/>
        </w:rPr>
        <w:t xml:space="preserve">, а в армянском искусстве — Сарьяном, Кочаром, Акопяном, Аветисяном; хорош, более того, необходим именно спектр, широкий веер различных стилевых систем, обеспечивающих реалистическому методу полноту художественного осмысления реальности. Искусство Р. Хачатряна — необходимая, эстетически могучая и чрезвычайно важная в перспективе гармонического развития человека современной изобразительной художественной культуры. Но чтобы обрести эстетическую полноценность, нужно было найти средства, способные полно и точно воплотить это возвышенно-гармоническое восприятие художником мира и человека в мире. На первых порах Р. Хачатрян еще не располагал этими средствами; однако его ранние рисунки уже выказывали редкую природную одаренность юноши. По мере мужания его таланта ему нужно было найти такие способы </w:t>
      </w:r>
      <w:proofErr w:type="spellStart"/>
      <w:r>
        <w:rPr>
          <w:rFonts w:ascii="Sylfaen" w:eastAsia="Sylfaen" w:hAnsi="Sylfaen" w:cs="Sylfaen"/>
          <w:color w:val="000000"/>
          <w:sz w:val="22"/>
          <w:szCs w:val="22"/>
        </w:rPr>
        <w:t>монументализации</w:t>
      </w:r>
      <w:proofErr w:type="spellEnd"/>
      <w:r>
        <w:rPr>
          <w:rFonts w:ascii="Sylfaen" w:eastAsia="Sylfaen" w:hAnsi="Sylfaen" w:cs="Sylfaen"/>
          <w:color w:val="000000"/>
          <w:sz w:val="22"/>
          <w:szCs w:val="22"/>
        </w:rPr>
        <w:t xml:space="preserve"> графики, </w:t>
      </w:r>
      <w:r>
        <w:rPr>
          <w:rFonts w:ascii="Sylfaen" w:eastAsia="Sylfaen" w:hAnsi="Sylfaen" w:cs="Sylfaen"/>
          <w:color w:val="000000"/>
          <w:sz w:val="22"/>
          <w:szCs w:val="22"/>
        </w:rPr>
        <w:lastRenderedPageBreak/>
        <w:t>которые были бы способны придать рисунку художественное значение, равное значению картины живописца или творения скульптора. Р. Хачатрян убежден в том, что скульптура и живопись сыграли свою роль лидеров художественной культуры — первая в античности, вторая — в эпоху Возрождения, и что современное мироощущение открывает аналогичные возможности перед графикой. Реализовать их — значило обрести такой пластический язык, который поставил бы рисунок по содержательной емкости вровень с живописными и скульптурными изображениями. Решением этой задачи оказался рисунок сепией по левкасу, покрывающему ровным звучно-белым слоем большую поверхность доски — 60 на 80, 80 на 100, 100 на 130! — и принимающего штриховку разной плотности, ширины и глубины линии в сочетании с пятном разной степени насыщенности. Достигаемая игра светотени, тональные вариации создают таким способом прозрачность изображения, неожиданный эффект цвета, колорита, сохраняя, однако, главным моделирующим средством филигранную линию и вытачиваемую с ее помощью объемную форму. Так рисунок обретал монументальность, величавость, успокоенное соединение весомости и светозарности, материальности и прозрачности.</w:t>
      </w:r>
    </w:p>
    <w:p w14:paraId="0705B13D" w14:textId="77777777" w:rsidR="008E6824" w:rsidRDefault="00000000">
      <w:pPr>
        <w:spacing w:after="100" w:line="300" w:lineRule="auto"/>
        <w:ind w:firstLine="360"/>
        <w:jc w:val="both"/>
      </w:pPr>
      <w:r>
        <w:rPr>
          <w:rFonts w:ascii="Sylfaen" w:eastAsia="Sylfaen" w:hAnsi="Sylfaen" w:cs="Sylfaen"/>
          <w:color w:val="000000"/>
          <w:sz w:val="22"/>
          <w:szCs w:val="22"/>
        </w:rPr>
        <w:t xml:space="preserve">Общему психологически-пластическому строю такого искусства должна была соответствовать и композиционная структура каждого «картинного рисунка» — иначе не назовешь произведения Р. Хачатряна, синтезировавшие особенности этих двух видов изобразительного творчества. И художник, действительно, строит их по принципам классической живописи, строго уравновешенно, иногда даже подчеркнуто симметрично (портреты Л. Абраамяна, А. Мигдала, С. Ямщикова, натюрморт с тремя рыбами, «Утро. Мастерская»), располагая изображение в плоскости доски, со слегка пониженной точки зрения, способствующей </w:t>
      </w:r>
      <w:proofErr w:type="spellStart"/>
      <w:r>
        <w:rPr>
          <w:rFonts w:ascii="Sylfaen" w:eastAsia="Sylfaen" w:hAnsi="Sylfaen" w:cs="Sylfaen"/>
          <w:color w:val="000000"/>
          <w:sz w:val="22"/>
          <w:szCs w:val="22"/>
        </w:rPr>
        <w:t>монументализации</w:t>
      </w:r>
      <w:proofErr w:type="spellEnd"/>
      <w:r>
        <w:rPr>
          <w:rFonts w:ascii="Sylfaen" w:eastAsia="Sylfaen" w:hAnsi="Sylfaen" w:cs="Sylfaen"/>
          <w:color w:val="000000"/>
          <w:sz w:val="22"/>
          <w:szCs w:val="22"/>
        </w:rPr>
        <w:t xml:space="preserve"> общего впечатления; каждая вещь выстроена как архитектурное сооружение, исключающее все случайное, мимолетное, импрессионистическое; композиция подчеркивает, что ее носительница — не фиксация беглого впечатления, не остановленное мгновение, а рациональная реконструкция мира, содержащая размышление о сути бытия, зримая философема.</w:t>
      </w:r>
    </w:p>
    <w:p w14:paraId="006D1461" w14:textId="77777777" w:rsidR="008E6824" w:rsidRDefault="00000000">
      <w:pPr>
        <w:spacing w:after="100" w:line="300" w:lineRule="auto"/>
        <w:ind w:firstLine="360"/>
        <w:jc w:val="both"/>
      </w:pPr>
      <w:r>
        <w:rPr>
          <w:rFonts w:ascii="Sylfaen" w:eastAsia="Sylfaen" w:hAnsi="Sylfaen" w:cs="Sylfaen"/>
          <w:color w:val="000000"/>
          <w:sz w:val="22"/>
          <w:szCs w:val="22"/>
        </w:rPr>
        <w:t xml:space="preserve">В свете всего сказанного неудивительным кажется суждение С. Ямщикова: «Мне, художнику-реставратору и искусствоведу, приходится иметь дело с произведениями искусства, созданными художниками различных эпох, стран, школ и стилей. Отправной точкой в оценке современных явлений изобразительного искусства невольно становятся критерии, применяемые к памятникам прошлого. И должен сказать, что работы Рудольфа Хачатряна имеют те качества, которые уже сегодня позволяют именовать их музейными». К какой национальной школе принадлежит искусство Р. Хачатряна? Он вырос и стал художником в Армении, он считает себя учеником Е. Кочара. и в его творчестве мы явственно видим нити, связывающие его с многими традициями армянского искусства; вместе с тем уже почти два десятилетия Р. Хачатрян живет в Москве, и именно здесь окончательно оформился его стиль, здесь он становится зрелым мастером. Сплав разных </w:t>
      </w:r>
      <w:r>
        <w:rPr>
          <w:rFonts w:ascii="Sylfaen" w:eastAsia="Sylfaen" w:hAnsi="Sylfaen" w:cs="Sylfaen"/>
          <w:color w:val="000000"/>
          <w:sz w:val="22"/>
          <w:szCs w:val="22"/>
        </w:rPr>
        <w:lastRenderedPageBreak/>
        <w:t xml:space="preserve">национальных традиций — явление очень характерное для всей современной культуры; его ярчайшее проявление — так называемый билингвизм, т. е. владение двумя языками; в литературе это выражается в способности романистов или поэтов равно свободно писать на двух языках, в музыке — в скрещении интонационного строя восточных фольклорных музыкальных культур с языком европейского симфонизма, оперы, джаза; в изобразительном искусстве XX века, в частности в армянском, скрещение разных национальных типов художественного сознания — явление нередкое (например, у </w:t>
      </w:r>
      <w:proofErr w:type="spellStart"/>
      <w:r>
        <w:rPr>
          <w:rFonts w:ascii="Sylfaen" w:eastAsia="Sylfaen" w:hAnsi="Sylfaen" w:cs="Sylfaen"/>
          <w:color w:val="000000"/>
          <w:sz w:val="22"/>
          <w:szCs w:val="22"/>
        </w:rPr>
        <w:t>Бажбеук</w:t>
      </w:r>
      <w:proofErr w:type="spellEnd"/>
      <w:r>
        <w:rPr>
          <w:rFonts w:ascii="Sylfaen" w:eastAsia="Sylfaen" w:hAnsi="Sylfaen" w:cs="Sylfaen"/>
          <w:color w:val="000000"/>
          <w:sz w:val="22"/>
          <w:szCs w:val="22"/>
        </w:rPr>
        <w:t xml:space="preserve">-Меликяна, А. </w:t>
      </w:r>
      <w:proofErr w:type="spellStart"/>
      <w:r>
        <w:rPr>
          <w:rFonts w:ascii="Sylfaen" w:eastAsia="Sylfaen" w:hAnsi="Sylfaen" w:cs="Sylfaen"/>
          <w:color w:val="000000"/>
          <w:sz w:val="22"/>
          <w:szCs w:val="22"/>
        </w:rPr>
        <w:t>Галенца</w:t>
      </w:r>
      <w:proofErr w:type="spellEnd"/>
      <w:r>
        <w:rPr>
          <w:rFonts w:ascii="Sylfaen" w:eastAsia="Sylfaen" w:hAnsi="Sylfaen" w:cs="Sylfaen"/>
          <w:color w:val="000000"/>
          <w:sz w:val="22"/>
          <w:szCs w:val="22"/>
        </w:rPr>
        <w:t xml:space="preserve">, А. Акопяна). В творчестве Р. Хачатряна это удвоение чувства национальной принадлежности наглядно выражается в построении натюрмортов — то как «Армянских», то как «Русских» по своему сюжету, т. е. по представленным в них вещам и плодам, причем и те, и другие оказываются для художника «своими», родственно ощущаемыми и равно любимыми. Но в его творчестве произошло, по-видимому, нечто еще более сложное — скрещение многонациональных традиций мировой истории искусства: именно у итальянских и немецких мастеров Ренессанса современный армянский художник, живущий в Москве, учится возвышенному претворению мира. Представляется, что наиболее органично сплав разных национальных традиций и </w:t>
      </w:r>
      <w:proofErr w:type="gramStart"/>
      <w:r>
        <w:rPr>
          <w:rFonts w:ascii="Sylfaen" w:eastAsia="Sylfaen" w:hAnsi="Sylfaen" w:cs="Sylfaen"/>
          <w:color w:val="000000"/>
          <w:sz w:val="22"/>
          <w:szCs w:val="22"/>
        </w:rPr>
        <w:t>одновременно традиционного</w:t>
      </w:r>
      <w:proofErr w:type="gramEnd"/>
      <w:r>
        <w:rPr>
          <w:rFonts w:ascii="Sylfaen" w:eastAsia="Sylfaen" w:hAnsi="Sylfaen" w:cs="Sylfaen"/>
          <w:color w:val="000000"/>
          <w:sz w:val="22"/>
          <w:szCs w:val="22"/>
        </w:rPr>
        <w:t xml:space="preserve"> и современного выражен в серии автопортретов Р. Хачатряна. Подобно Рембрандту, наш художник систематически всматривается в себя, пытливо изучает себя, требовательно и строго оценивает себя; чуть ли не каждый год он делает такую эстетическую и психологическую «ревизию», искренне и откровенно раскрывая себя людям, истории культуры, потомкам.</w:t>
      </w:r>
    </w:p>
    <w:p w14:paraId="73B38EF3" w14:textId="77777777" w:rsidR="008E6824" w:rsidRDefault="00000000">
      <w:pPr>
        <w:spacing w:after="100" w:line="300" w:lineRule="auto"/>
        <w:ind w:firstLine="360"/>
        <w:jc w:val="both"/>
      </w:pPr>
      <w:r>
        <w:rPr>
          <w:rFonts w:ascii="Sylfaen" w:eastAsia="Sylfaen" w:hAnsi="Sylfaen" w:cs="Sylfaen"/>
          <w:color w:val="000000"/>
          <w:sz w:val="22"/>
          <w:szCs w:val="22"/>
        </w:rPr>
        <w:t xml:space="preserve">Стремление увидеть себя со стороны, осмыслить свое место в искусстве особенно важно в наше время в связи со сложностью переходного состояния современной художественной культуры, стремящейся одновременно к сохранению национальной самобытности и к достижению общечеловеческого единства, к сближению человека с природой и к ее покорению человеком, к безграничному развитию личности и к социальному объединению все более широких масс людей, к напряженной интеллектуальной жизни и к сохранению живости эмоциональных реакций, к строго научному пониманию мира и к любви к миру, к природе, ко всему человеческому в человеке. Эти противоречивые устремления могут казаться антиномиями, несовместимыми в реальности полярными силами, но могут осмысляться и как стороны диалектического тождества, способные не только противостоять друг другу, но и соединяться в одном гармоническом целом. Сила, идейно-эстетическая ценность, высокое социальное значение искусства Р. Хачатряна в том, что оно убеждает в возможности, необходимости и реальности такой гармонии. Конечно, многим людям, пережившим катаклизмы недавней мировой войны и ощущающим угрозу новой, еще более страшной, людям, остро переживающим многочисленные конфликты, раздоры, драмы нашего времени (расовое и национальное угнетение, социальное неравенство, </w:t>
      </w:r>
      <w:r>
        <w:rPr>
          <w:rFonts w:ascii="Sylfaen" w:eastAsia="Sylfaen" w:hAnsi="Sylfaen" w:cs="Sylfaen"/>
          <w:color w:val="000000"/>
          <w:sz w:val="22"/>
          <w:szCs w:val="22"/>
        </w:rPr>
        <w:lastRenderedPageBreak/>
        <w:t xml:space="preserve">бесчинства террористов, утрату духовности под натиском «массовой культуры», культа денег и вещей) другой художественный язык кажется соответствующим трагическому напряжению времени — язык живописи Пикассо, музыки Шенберга, театра Беккета... Но не будем забывать, что наряду с криком ужаса, прозвучавшим в «Гернике» Пикассо, в творчестве великого испанца мы встречаемся и с переработкой идеальных форм античной культуры, словно художник желал доказать человечеству </w:t>
      </w:r>
      <w:proofErr w:type="spellStart"/>
      <w:r>
        <w:rPr>
          <w:rFonts w:ascii="Sylfaen" w:eastAsia="Sylfaen" w:hAnsi="Sylfaen" w:cs="Sylfaen"/>
          <w:color w:val="000000"/>
          <w:sz w:val="22"/>
          <w:szCs w:val="22"/>
        </w:rPr>
        <w:t>преходящность</w:t>
      </w:r>
      <w:proofErr w:type="spellEnd"/>
      <w:r>
        <w:rPr>
          <w:rFonts w:ascii="Sylfaen" w:eastAsia="Sylfaen" w:hAnsi="Sylfaen" w:cs="Sylfaen"/>
          <w:color w:val="000000"/>
          <w:sz w:val="22"/>
          <w:szCs w:val="22"/>
        </w:rPr>
        <w:t xml:space="preserve"> хаоса, разложения, распада и нетленную, абсолютную ценность гармонии человека с природой, и другими людьми и с самим собой...</w:t>
      </w:r>
    </w:p>
    <w:p w14:paraId="4A7FE595" w14:textId="77777777" w:rsidR="008E6824" w:rsidRDefault="00000000">
      <w:pPr>
        <w:spacing w:after="100" w:line="300" w:lineRule="auto"/>
        <w:ind w:firstLine="360"/>
        <w:jc w:val="both"/>
      </w:pPr>
      <w:r>
        <w:rPr>
          <w:rFonts w:ascii="Sylfaen" w:eastAsia="Sylfaen" w:hAnsi="Sylfaen" w:cs="Sylfaen"/>
          <w:color w:val="000000"/>
          <w:sz w:val="22"/>
          <w:szCs w:val="22"/>
        </w:rPr>
        <w:t>Именно об этой гармонии говорит нам и творчество Рудольфа Хачатряна, говорит по-своему, неповторимым и сильным, истинно художественным языком. Будем же верить, что созданный им мир образов — не новая утопия, а реальная возможность, осуществление которой зависит от нас самих — людей XX века...</w:t>
      </w:r>
    </w:p>
    <w:p w14:paraId="27975A53" w14:textId="77777777" w:rsidR="008E6824" w:rsidRDefault="00000000">
      <w:pPr>
        <w:spacing w:before="320" w:after="40" w:line="300" w:lineRule="auto"/>
        <w:jc w:val="right"/>
      </w:pPr>
      <w:r>
        <w:rPr>
          <w:rFonts w:ascii="Sylfaen" w:eastAsia="Sylfaen" w:hAnsi="Sylfaen" w:cs="Sylfaen"/>
          <w:b/>
          <w:bCs/>
          <w:color w:val="000000"/>
          <w:spacing w:val="20"/>
          <w:sz w:val="22"/>
          <w:szCs w:val="22"/>
        </w:rPr>
        <w:t>МОИСЕЙ КАГАН</w:t>
      </w:r>
    </w:p>
    <w:p w14:paraId="7470E9C8" w14:textId="77777777" w:rsidR="008E6824" w:rsidRDefault="00000000">
      <w:pPr>
        <w:spacing w:after="40" w:line="300" w:lineRule="auto"/>
        <w:jc w:val="right"/>
      </w:pPr>
      <w:r>
        <w:rPr>
          <w:rFonts w:ascii="Sylfaen" w:eastAsia="Sylfaen" w:hAnsi="Sylfaen" w:cs="Sylfaen"/>
          <w:i/>
          <w:iCs/>
          <w:color w:val="000000"/>
        </w:rPr>
        <w:t>искусствовед, доктор философских наук</w:t>
      </w:r>
    </w:p>
    <w:p w14:paraId="2AC59060" w14:textId="77777777" w:rsidR="008E6824" w:rsidRDefault="008E6824">
      <w:pPr>
        <w:pBdr>
          <w:bottom w:val="single" w:sz="6" w:space="6" w:color="BBBBBB"/>
        </w:pBdr>
        <w:spacing w:before="360" w:after="240"/>
      </w:pPr>
    </w:p>
    <w:p w14:paraId="35EC2E73" w14:textId="77777777" w:rsidR="008E6824" w:rsidRDefault="00000000">
      <w:pPr>
        <w:spacing w:after="70" w:line="300" w:lineRule="auto"/>
      </w:pPr>
      <w:r>
        <w:rPr>
          <w:rFonts w:ascii="Sylfaen" w:eastAsia="Sylfaen" w:hAnsi="Sylfaen" w:cs="Sylfaen"/>
          <w:color w:val="444444"/>
          <w:sz w:val="19"/>
          <w:szCs w:val="19"/>
        </w:rPr>
        <w:t>— Упомянутые в тексте работы: «Натюрморт с кувшином и рыбой» (1981), «Большой натюрморт» (1982), «Натюрморт с зеркалом» (1983), «Изгнанник» (1981), «Натурщица» (1981), «</w:t>
      </w:r>
      <w:proofErr w:type="spellStart"/>
      <w:r>
        <w:rPr>
          <w:rFonts w:ascii="Sylfaen" w:eastAsia="Sylfaen" w:hAnsi="Sylfaen" w:cs="Sylfaen"/>
          <w:color w:val="444444"/>
          <w:sz w:val="19"/>
          <w:szCs w:val="19"/>
        </w:rPr>
        <w:t>Моко</w:t>
      </w:r>
      <w:proofErr w:type="spellEnd"/>
      <w:r>
        <w:rPr>
          <w:rFonts w:ascii="Sylfaen" w:eastAsia="Sylfaen" w:hAnsi="Sylfaen" w:cs="Sylfaen"/>
          <w:color w:val="444444"/>
          <w:sz w:val="19"/>
          <w:szCs w:val="19"/>
        </w:rPr>
        <w:t>» (1982), «Девушка в старинном берете» (1978), «Давид» (1978), «Юдифь» (1976), «Портрет молодой итальянки» (1981), «Утро. Мастерская».</w:t>
      </w:r>
    </w:p>
    <w:sectPr w:rsidR="008E6824">
      <w:pgSz w:w="11906" w:h="16838"/>
      <w:pgMar w:top="1440" w:right="1600" w:bottom="1440" w:left="16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B96F4C"/>
    <w:multiLevelType w:val="hybridMultilevel"/>
    <w:tmpl w:val="0A12B9CA"/>
    <w:lvl w:ilvl="0" w:tplc="07B2826A">
      <w:start w:val="1"/>
      <w:numFmt w:val="bullet"/>
      <w:lvlText w:val="●"/>
      <w:lvlJc w:val="left"/>
      <w:pPr>
        <w:ind w:left="720" w:hanging="360"/>
      </w:pPr>
    </w:lvl>
    <w:lvl w:ilvl="1" w:tplc="C4BA95A0">
      <w:start w:val="1"/>
      <w:numFmt w:val="bullet"/>
      <w:lvlText w:val="○"/>
      <w:lvlJc w:val="left"/>
      <w:pPr>
        <w:ind w:left="1440" w:hanging="360"/>
      </w:pPr>
    </w:lvl>
    <w:lvl w:ilvl="2" w:tplc="844A813E">
      <w:start w:val="1"/>
      <w:numFmt w:val="bullet"/>
      <w:lvlText w:val="■"/>
      <w:lvlJc w:val="left"/>
      <w:pPr>
        <w:ind w:left="2160" w:hanging="360"/>
      </w:pPr>
    </w:lvl>
    <w:lvl w:ilvl="3" w:tplc="B8AC47E6">
      <w:start w:val="1"/>
      <w:numFmt w:val="bullet"/>
      <w:lvlText w:val="●"/>
      <w:lvlJc w:val="left"/>
      <w:pPr>
        <w:ind w:left="2880" w:hanging="360"/>
      </w:pPr>
    </w:lvl>
    <w:lvl w:ilvl="4" w:tplc="D072242C">
      <w:start w:val="1"/>
      <w:numFmt w:val="bullet"/>
      <w:lvlText w:val="○"/>
      <w:lvlJc w:val="left"/>
      <w:pPr>
        <w:ind w:left="3600" w:hanging="360"/>
      </w:pPr>
    </w:lvl>
    <w:lvl w:ilvl="5" w:tplc="0FA802BA">
      <w:start w:val="1"/>
      <w:numFmt w:val="bullet"/>
      <w:lvlText w:val="■"/>
      <w:lvlJc w:val="left"/>
      <w:pPr>
        <w:ind w:left="4320" w:hanging="360"/>
      </w:pPr>
    </w:lvl>
    <w:lvl w:ilvl="6" w:tplc="E326E0D0">
      <w:start w:val="1"/>
      <w:numFmt w:val="bullet"/>
      <w:lvlText w:val="●"/>
      <w:lvlJc w:val="left"/>
      <w:pPr>
        <w:ind w:left="5040" w:hanging="360"/>
      </w:pPr>
    </w:lvl>
    <w:lvl w:ilvl="7" w:tplc="076AC914">
      <w:start w:val="1"/>
      <w:numFmt w:val="bullet"/>
      <w:lvlText w:val="●"/>
      <w:lvlJc w:val="left"/>
      <w:pPr>
        <w:ind w:left="5760" w:hanging="360"/>
      </w:pPr>
    </w:lvl>
    <w:lvl w:ilvl="8" w:tplc="7A5A2EFC">
      <w:start w:val="1"/>
      <w:numFmt w:val="bullet"/>
      <w:lvlText w:val="●"/>
      <w:lvlJc w:val="left"/>
      <w:pPr>
        <w:ind w:left="6480" w:hanging="360"/>
      </w:pPr>
    </w:lvl>
  </w:abstractNum>
  <w:num w:numId="1" w16cid:durableId="3580433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824"/>
    <w:rsid w:val="00315287"/>
    <w:rsid w:val="004F3D00"/>
    <w:rsid w:val="008E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91B453"/>
  <w15:docId w15:val="{DF5E331F-D6B5-DD49-9243-C55F4D34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2390</Words>
  <Characters>13625</Characters>
  <Application>Microsoft Office Word</Application>
  <DocSecurity>0</DocSecurity>
  <Lines>113</Lines>
  <Paragraphs>31</Paragraphs>
  <ScaleCrop>false</ScaleCrop>
  <Company/>
  <LinksUpToDate>false</LinksUpToDate>
  <CharactersWithSpaces>15984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ИСКУССТВО РУДОЛЬФА ХАЧАТРЯНА</dc:title>
  <dc:creator>Ռուդոլֆ Խաչատրյանի արխիվ</dc:creator>
  <cp:lastModifiedBy>Microsoft Office User</cp:lastModifiedBy>
  <cp:revision>2</cp:revision>
  <dcterms:created xsi:type="dcterms:W3CDTF">2026-07-31T17:34:00Z</dcterms:created>
  <dcterms:modified xsi:type="dcterms:W3CDTF">2026-07-31T17:34:00Z</dcterms:modified>
</cp:coreProperties>
</file>