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расшифровка статьи М. С. Кагана «Внутренний свет» о Рудольфе Хачатряне.</w:t>
      </w:r>
    </w:p>
    <w:p>
      <w:r>
        <w:rPr>
          <w:b w:val="0"/>
          <w:i/>
          <w:color w:val="787878"/>
          <w:sz w:val="18"/>
        </w:rPr>
        <w:t>ИСТОЧНИК РАСШИФРОВКИ: книга М. С. Каган «Искусствознание и художественная критика. Избранные статьи», изд-во Петрополис, Санкт-Петербург, 2001, стр. 377–379 (Pub-Legacy 224-а; PDF в архиве: 03_Издания/PDF_публикаций/224-а_pub.pdf). Книжная публикация имеет в шапке указание на первоисточник: журнал Новое время, 1986, №51 (Pub-Legacy 139).</w:t>
      </w:r>
    </w:p>
    <w:p>
      <w:r>
        <w:rPr>
          <w:b w:val="0"/>
          <w:i/>
          <w:color w:val="787878"/>
          <w:sz w:val="18"/>
        </w:rPr>
        <w:t>ДРУГИЕ ПУБЛИКАЦИИ ТОГО ЖЕ ТЕКСТА: Pub-Legacy 144 — немецкий перевод «Das innere Licht» в журнале Armenien heute, 1987, №2.</w:t>
      </w:r>
    </w:p>
    <w:p>
      <w:r>
        <w:rPr>
          <w:b w:val="0"/>
          <w:i/>
          <w:color w:val="787878"/>
          <w:sz w:val="18"/>
        </w:rPr>
        <w:t>Расшифровка визуальная — без OCR (русский OCR недоступен в окружении). Возможны мелкие неточности; перед публикацией нужна корректура. На стр. 378 PDF — иллюстрация (автопортрет Хачатряна), текста нет.</w:t>
      </w:r>
    </w:p>
    <w:p>
      <w:r>
        <w:rPr>
          <w:b w:val="0"/>
          <w:i/>
          <w:color w:val="787878"/>
          <w:sz w:val="18"/>
        </w:rPr>
        <w:t>⚠️ ОТЛИЧИЕ ОТ Txt-0021: статья «Искусство Рудольфа Хачатряна» (Cat-149) — это ДРУГОЙ текст М. Кагана о Хачатряне, более длинный, написан для каталога 1987 года. «Внутренний свет» — отдельная статья 1986 года.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jc w:val="center"/>
      </w:pPr>
      <w:r>
        <w:rPr>
          <w:b/>
          <w:sz w:val="32"/>
        </w:rPr>
        <w:t>ВНУТРЕННИЙ СВЕТ</w:t>
      </w:r>
    </w:p>
    <w:p>
      <w:pPr>
        <w:jc w:val="center"/>
      </w:pPr>
      <w:r>
        <w:rPr>
          <w:i/>
          <w:sz w:val="24"/>
        </w:rPr>
        <w:t>Творчество народного художника Армянской ССР Рудольфа Хачатряна</w:t>
      </w:r>
    </w:p>
    <w:p>
      <w:pPr>
        <w:ind w:firstLine="425"/>
      </w:pPr>
      <w:r>
        <w:rPr>
          <w:rFonts w:ascii="Times New Roman" w:hAnsi="Times New Roman"/>
          <w:sz w:val="24"/>
        </w:rPr>
        <w:t>Работы Хачатряна хорошо известны советским и зарубежным ценителям искусства. В 1986 году тысячи людей посетили выставки его картин в Москве, Ереване, Детройте (США). В наше драматически напряжённое время творчество художника, проникнутое верой в человека, находит живой отклик у зрителей.</w:t>
      </w:r>
    </w:p>
    <w:p>
      <w:pPr>
        <w:ind w:firstLine="425"/>
      </w:pPr>
      <w:r>
        <w:rPr>
          <w:rFonts w:ascii="Times New Roman" w:hAnsi="Times New Roman"/>
          <w:sz w:val="24"/>
        </w:rPr>
        <w:t>Он вырос и стал художником в Армении. Многими нитями его творчество связано с традициями армянского искусства. Однако уважение к ним не отторгает художника от многонациональной советской и мировой культуры. Рудольф Хачатрян впитал в себя опыт итальянской, немецкой, голландской, русской художественной культуры. Это особенно видно в серии автопортретов, один из которых здесь представлен.</w:t>
      </w:r>
    </w:p>
    <w:p>
      <w:pPr>
        <w:ind w:firstLine="425"/>
      </w:pPr>
      <w:r>
        <w:rPr>
          <w:rFonts w:ascii="Times New Roman" w:hAnsi="Times New Roman"/>
          <w:sz w:val="24"/>
        </w:rPr>
        <w:t>Проницательно, требовательно вглядывается художник в себя, и точно так же смотрит на других людей, на весь мир, соединяя в одно нерасторжимое целое и эстетические, и нравственные переживания бытия.</w:t>
      </w:r>
    </w:p>
    <w:p>
      <w:pPr>
        <w:ind w:firstLine="425"/>
      </w:pPr>
      <w:r>
        <w:rPr>
          <w:rFonts w:ascii="Times New Roman" w:hAnsi="Times New Roman"/>
          <w:sz w:val="24"/>
        </w:rPr>
        <w:t>У человека, впервые видящего работы Хачатряна, их восприятие начинается с удивления необычной художественной техники: рисунка сепией по левкасу — тонкому белильно-меловому слою грунта. Левкас применяли ещё иконописцы, они полностью покрывали загрунтованную поверхность красочным слоем. В работах Хачатряна левкас остаётся чистым, в нём помещены изображения человека, вещей, ландшафта. Они нанесены ювелирно тонкой гравировкой рисунка, местами проработаны ради осязаемой светотеневой формы — и сопоставления разных фактур: человеческого тела, одежды, растений… Возникает удивительное ощущение внутреннего света предмета, и однотонное изображение начинает восприниматься как цветное — то холодноватое, то тёплое, то коричнево-зелёное, то голубовато-серебристое… Рисунки необычны по размеру — зритель видит крупные плоскости, свойственные скорее произведениям живописи, чем графики.</w:t>
      </w:r>
    </w:p>
    <w:p>
      <w:pPr>
        <w:ind w:firstLine="425"/>
      </w:pPr>
      <w:r>
        <w:rPr>
          <w:rFonts w:ascii="Times New Roman" w:hAnsi="Times New Roman"/>
          <w:sz w:val="24"/>
        </w:rPr>
        <w:t>В чём же пафос творчества Рудольфа Хачатряна? Хочу обратить внимание на особенности его героев: в каждом из них художник стремится выявить характер, силу духа, напряжение мысли — короче, значительность личности: духовную, интеллектуальную, творческую. Свой мир художник населил сильными, мыслящими и деятельными мужчинами с богатой внутренней жизнью и изящными, нежными, грациозными девушками и женщинами.</w:t>
      </w:r>
    </w:p>
    <w:p>
      <w:pPr>
        <w:ind w:firstLine="425"/>
      </w:pPr>
      <w:r>
        <w:rPr>
          <w:rFonts w:ascii="Times New Roman" w:hAnsi="Times New Roman"/>
          <w:sz w:val="24"/>
        </w:rPr>
        <w:t>И действительно, герои Хачатряна вызывают в нашей памяти образы ренессансного искусства. Он обстоятельно лепит пластический облик каждого изображаемого предмета. Поверхностному восприятию это может показаться натуралистическим иллюзионизмом, а более опытный взгляд увидит здесь выражение одухотворённо-любовного отношения художника к материальной плоти окружающего его мира. Вот почему нужна ему светоносность левкаса, покрываемого прозрачной сетью тончайших штрихов — в мире Хачатряна пронизывающий пространство свет соединяет материальное с духовным, одушевляет мёртвую материю, вносит поэтическое начало в бытие природы…</w:t>
      </w:r>
    </w:p>
    <w:p>
      <w:pPr>
        <w:ind w:firstLine="425"/>
      </w:pPr>
      <w:r>
        <w:rPr>
          <w:rFonts w:ascii="Times New Roman" w:hAnsi="Times New Roman"/>
          <w:sz w:val="24"/>
        </w:rPr>
        <w:t>Не архаично ли, однако, такое мироощущение в наше драматически напряжённое время — время острейших социальных конфликтов, экологических кризисов, угрозы самому существованию человечества? Современен ли стиль Хачатряна на эмоционально-эстетическом фоне живописи Пикассо и Дали? Думаю, что не только современен, но и своевременен — он говорит о необходимости сохранить в нашем грозном времени веру в Человека, в могущество его духа, в возможность преодоления разлада — гармонией, разрухи, разрушения природы — любовным единением с нею. Без такой веры нельзя сегодня жить человеку на свете, без неё нельзя и бороться за спасение человечества, за его лучшее будущее.</w:t>
      </w:r>
    </w:p>
    <w:p>
      <w:pPr>
        <w:jc w:val="right"/>
      </w:pPr>
      <w:r>
        <w:rPr>
          <w:i/>
          <w:sz w:val="24"/>
        </w:rPr>
        <w:t>М. С. Каган</w:t>
      </w:r>
    </w:p>
    <w:p>
      <w:pPr>
        <w:jc w:val="right"/>
      </w:pPr>
      <w:r>
        <w:rPr>
          <w:i/>
          <w:color w:val="646464"/>
          <w:sz w:val="20"/>
        </w:rPr>
        <w:t>Источник: Новое время, 1986, № 51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